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7"/>
        <w:gridCol w:w="3403"/>
      </w:tblGrid>
      <w:tr w:rsidR="0052453A" w:rsidTr="00183B74">
        <w:trPr>
          <w:cantSplit/>
          <w:trHeight w:val="1828"/>
        </w:trPr>
        <w:tc>
          <w:tcPr>
            <w:tcW w:w="6345" w:type="dxa"/>
          </w:tcPr>
          <w:p w:rsidR="0052453A" w:rsidRDefault="0052453A">
            <w:pPr>
              <w:pStyle w:val="BodyText2"/>
            </w:pPr>
            <w:bookmarkStart w:id="0" w:name="_GoBack"/>
            <w:bookmarkEnd w:id="0"/>
          </w:p>
          <w:p w:rsidR="0052453A" w:rsidRDefault="0052453A">
            <w:pPr>
              <w:pStyle w:val="BodyText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HSMP 09 Hazard Reporting</w:t>
            </w:r>
          </w:p>
          <w:p w:rsidR="0052453A" w:rsidRDefault="0052453A">
            <w:pPr>
              <w:pStyle w:val="BodyText2"/>
              <w:rPr>
                <w:rFonts w:ascii="Arial" w:hAnsi="Arial"/>
                <w:sz w:val="22"/>
              </w:rPr>
            </w:pPr>
          </w:p>
          <w:p w:rsidR="0052453A" w:rsidRDefault="0052453A">
            <w:pPr>
              <w:pStyle w:val="Title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453A" w:rsidRPr="002B2AC9" w:rsidRDefault="00A86B21" w:rsidP="00655780">
            <w:pPr>
              <w:pStyle w:val="BodyText2"/>
              <w:jc w:val="center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noProof/>
                <w:sz w:val="44"/>
                <w:szCs w:val="44"/>
              </w:rPr>
              <w:drawing>
                <wp:inline distT="0" distB="0" distL="0" distR="0">
                  <wp:extent cx="1019175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53A" w:rsidRDefault="0052453A" w:rsidP="00F32705">
      <w:pPr>
        <w:rPr>
          <w:b/>
        </w:rPr>
      </w:pPr>
    </w:p>
    <w:p w:rsidR="0052453A" w:rsidRDefault="0052453A" w:rsidP="00F32705">
      <w:pPr>
        <w:rPr>
          <w:b/>
        </w:rPr>
      </w:pPr>
      <w:r w:rsidRPr="00DE56D0">
        <w:rPr>
          <w:b/>
        </w:rPr>
        <w:t>1.0</w:t>
      </w:r>
      <w:r>
        <w:tab/>
      </w:r>
      <w:r>
        <w:rPr>
          <w:b/>
        </w:rPr>
        <w:t>Policy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1.1</w:t>
      </w:r>
      <w:r>
        <w:rPr>
          <w:rFonts w:ascii="Arial" w:hAnsi="Arial"/>
          <w:sz w:val="22"/>
        </w:rPr>
        <w:tab/>
        <w:t>It is the policy of NHS Education for Scotland (NES) that any person who becomes aware of a hazard shall make use of this procedure to bring the deficiencies to the attention of their immediate line manager.</w:t>
      </w:r>
    </w:p>
    <w:p w:rsidR="0052453A" w:rsidRDefault="0052453A" w:rsidP="00F32705">
      <w:pPr>
        <w:jc w:val="both"/>
      </w:pPr>
    </w:p>
    <w:p w:rsidR="0052453A" w:rsidRDefault="0052453A" w:rsidP="00F32705">
      <w:pPr>
        <w:jc w:val="both"/>
        <w:rPr>
          <w:b/>
        </w:rPr>
      </w:pPr>
      <w:r>
        <w:rPr>
          <w:b/>
        </w:rPr>
        <w:t>2.0</w:t>
      </w:r>
      <w:r>
        <w:rPr>
          <w:b/>
        </w:rPr>
        <w:tab/>
        <w:t>Scope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</w:t>
      </w:r>
      <w:r>
        <w:rPr>
          <w:rFonts w:ascii="Arial" w:hAnsi="Arial"/>
          <w:sz w:val="22"/>
        </w:rPr>
        <w:tab/>
        <w:t>The procedure covers the arrangements for the reporting and resolution of an unsafe condition or activity, an incident or a deficiency/non conformance in NES, Directorate or site health and safety arrangements.</w:t>
      </w:r>
    </w:p>
    <w:p w:rsidR="0052453A" w:rsidRDefault="0052453A" w:rsidP="00F32705">
      <w:pPr>
        <w:jc w:val="both"/>
      </w:pPr>
    </w:p>
    <w:p w:rsidR="0052453A" w:rsidRPr="00971098" w:rsidRDefault="0052453A" w:rsidP="00F32705">
      <w:pPr>
        <w:pStyle w:val="BodyText3"/>
        <w:jc w:val="both"/>
        <w:rPr>
          <w:b/>
          <w:sz w:val="22"/>
        </w:rPr>
      </w:pPr>
      <w:r w:rsidRPr="00971098">
        <w:rPr>
          <w:b/>
          <w:sz w:val="22"/>
        </w:rPr>
        <w:t>3.0</w:t>
      </w:r>
      <w:r w:rsidRPr="00971098">
        <w:rPr>
          <w:b/>
          <w:sz w:val="22"/>
        </w:rPr>
        <w:tab/>
        <w:t>Responsibilities</w:t>
      </w:r>
      <w:r w:rsidRPr="00971098">
        <w:rPr>
          <w:b/>
          <w:sz w:val="22"/>
        </w:rPr>
        <w:br/>
      </w:r>
    </w:p>
    <w:p w:rsidR="0052453A" w:rsidRDefault="0052453A" w:rsidP="00F32705">
      <w:pPr>
        <w:ind w:left="720" w:hanging="720"/>
        <w:jc w:val="both"/>
      </w:pPr>
      <w:r>
        <w:rPr>
          <w:color w:val="000000"/>
        </w:rPr>
        <w:t>3.1</w:t>
      </w:r>
      <w:r>
        <w:rPr>
          <w:color w:val="000000"/>
        </w:rPr>
        <w:tab/>
      </w:r>
      <w:r w:rsidRPr="00D21A90">
        <w:rPr>
          <w:b/>
          <w:color w:val="000000"/>
        </w:rPr>
        <w:t xml:space="preserve">The </w:t>
      </w:r>
      <w:r>
        <w:rPr>
          <w:b/>
          <w:color w:val="000000"/>
        </w:rPr>
        <w:t xml:space="preserve">Chief Executive and </w:t>
      </w:r>
      <w:r w:rsidR="00CA480E">
        <w:rPr>
          <w:b/>
          <w:color w:val="000000"/>
        </w:rPr>
        <w:t>Executive Team</w:t>
      </w:r>
      <w:r>
        <w:rPr>
          <w:b/>
          <w:color w:val="000000"/>
        </w:rPr>
        <w:t xml:space="preserve"> </w:t>
      </w:r>
      <w:r>
        <w:t xml:space="preserve">are responsible for the ongoing review, development and implementation of this procedure.  </w:t>
      </w:r>
      <w:r>
        <w:br/>
      </w:r>
    </w:p>
    <w:p w:rsidR="003366EC" w:rsidRDefault="0052453A" w:rsidP="008F4F23">
      <w:pPr>
        <w:tabs>
          <w:tab w:val="left" w:pos="720"/>
        </w:tabs>
        <w:overflowPunct/>
        <w:autoSpaceDE/>
        <w:adjustRightInd/>
        <w:ind w:left="720" w:hanging="720"/>
        <w:jc w:val="both"/>
        <w:textAlignment w:val="auto"/>
        <w:rPr>
          <w:b/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D21A90">
        <w:rPr>
          <w:b/>
          <w:color w:val="000000"/>
        </w:rPr>
        <w:t>The</w:t>
      </w:r>
      <w:r>
        <w:rPr>
          <w:b/>
          <w:color w:val="000000"/>
        </w:rPr>
        <w:t xml:space="preserve"> Director of </w:t>
      </w:r>
      <w:r w:rsidR="00C13ABF">
        <w:rPr>
          <w:b/>
          <w:color w:val="000000"/>
        </w:rPr>
        <w:t>Workforce</w:t>
      </w:r>
      <w:r w:rsidR="003366EC">
        <w:rPr>
          <w:b/>
          <w:color w:val="000000"/>
        </w:rPr>
        <w:t>:</w:t>
      </w:r>
    </w:p>
    <w:p w:rsidR="003366EC" w:rsidRDefault="003366EC" w:rsidP="008F4F23">
      <w:pPr>
        <w:tabs>
          <w:tab w:val="left" w:pos="720"/>
        </w:tabs>
        <w:overflowPunct/>
        <w:autoSpaceDE/>
        <w:adjustRightInd/>
        <w:ind w:left="720" w:hanging="720"/>
        <w:jc w:val="both"/>
        <w:textAlignment w:val="auto"/>
        <w:rPr>
          <w:b/>
          <w:color w:val="000000"/>
        </w:rPr>
      </w:pPr>
    </w:p>
    <w:p w:rsidR="008F4F23" w:rsidRDefault="003366EC" w:rsidP="003366EC">
      <w:pPr>
        <w:tabs>
          <w:tab w:val="left" w:pos="720"/>
        </w:tabs>
        <w:overflowPunct/>
        <w:autoSpaceDE/>
        <w:adjustRightInd/>
        <w:ind w:left="1440" w:hanging="720"/>
        <w:jc w:val="both"/>
        <w:textAlignment w:val="auto"/>
        <w:rPr>
          <w:rFonts w:cs="Arial"/>
        </w:rPr>
      </w:pPr>
      <w:r>
        <w:rPr>
          <w:color w:val="000000"/>
        </w:rPr>
        <w:t>3.2.1</w:t>
      </w:r>
      <w:r w:rsidR="0052453A">
        <w:rPr>
          <w:color w:val="000000"/>
        </w:rPr>
        <w:t xml:space="preserve"> </w:t>
      </w:r>
      <w:r>
        <w:rPr>
          <w:color w:val="000000"/>
        </w:rPr>
        <w:t xml:space="preserve"> H</w:t>
      </w:r>
      <w:r w:rsidR="0052453A">
        <w:rPr>
          <w:color w:val="000000"/>
        </w:rPr>
        <w:t xml:space="preserve">as been assigned operational responsibility </w:t>
      </w:r>
      <w:r w:rsidR="0052453A">
        <w:t>for the review, ongoing formulation, development and implementation of this procedure within NES.</w:t>
      </w:r>
      <w:r w:rsidR="008F4F23" w:rsidRPr="008F4F23">
        <w:rPr>
          <w:rFonts w:cs="Arial"/>
        </w:rPr>
        <w:t xml:space="preserve"> </w:t>
      </w:r>
    </w:p>
    <w:p w:rsidR="00C13ABF" w:rsidRDefault="003366EC" w:rsidP="00C13ABF">
      <w:pPr>
        <w:tabs>
          <w:tab w:val="left" w:pos="720"/>
        </w:tabs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ab/>
        <w:t>3.2.2</w:t>
      </w:r>
      <w:r>
        <w:rPr>
          <w:rFonts w:cs="Arial"/>
        </w:rPr>
        <w:tab/>
      </w:r>
      <w:r w:rsidR="00C13ABF">
        <w:rPr>
          <w:rFonts w:cs="Arial"/>
        </w:rPr>
        <w:t xml:space="preserve">Will report on the operation of this procedure as part of the annual review of NES’s  </w:t>
      </w:r>
    </w:p>
    <w:p w:rsidR="00C13ABF" w:rsidRDefault="00C13ABF" w:rsidP="00C13ABF">
      <w:pPr>
        <w:overflowPunct/>
        <w:autoSpaceDE/>
        <w:adjustRightInd/>
        <w:ind w:left="1215" w:firstLine="225"/>
        <w:jc w:val="both"/>
        <w:rPr>
          <w:rFonts w:cs="Arial"/>
        </w:rPr>
      </w:pPr>
      <w:r>
        <w:rPr>
          <w:rFonts w:cs="Arial"/>
        </w:rPr>
        <w:t>health and safety management system (HSMS).</w:t>
      </w:r>
    </w:p>
    <w:p w:rsidR="003366EC" w:rsidRDefault="003366EC" w:rsidP="00C13ABF">
      <w:pPr>
        <w:overflowPunct/>
        <w:autoSpaceDE/>
        <w:adjustRightInd/>
        <w:ind w:left="495"/>
        <w:jc w:val="both"/>
        <w:rPr>
          <w:rFonts w:cs="Arial"/>
        </w:rPr>
      </w:pPr>
    </w:p>
    <w:p w:rsidR="0052453A" w:rsidRDefault="0052453A" w:rsidP="00F32705">
      <w:pPr>
        <w:tabs>
          <w:tab w:val="left" w:pos="720"/>
        </w:tabs>
        <w:ind w:left="720" w:hanging="720"/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3.3</w:t>
      </w:r>
      <w:r>
        <w:rPr>
          <w:rFonts w:ascii="Arial" w:hAnsi="Arial"/>
          <w:sz w:val="22"/>
        </w:rPr>
        <w:tab/>
      </w:r>
      <w:r w:rsidRPr="005065E8">
        <w:rPr>
          <w:rFonts w:ascii="Arial" w:hAnsi="Arial"/>
          <w:b/>
          <w:sz w:val="22"/>
        </w:rPr>
        <w:t>Directors/</w:t>
      </w:r>
      <w:r>
        <w:rPr>
          <w:rFonts w:ascii="Arial" w:hAnsi="Arial"/>
          <w:sz w:val="22"/>
        </w:rPr>
        <w:t xml:space="preserve"> </w:t>
      </w:r>
      <w:r w:rsidRPr="00EE2184">
        <w:rPr>
          <w:rFonts w:ascii="Arial" w:hAnsi="Arial" w:cs="Arial"/>
          <w:b/>
          <w:color w:val="000000"/>
          <w:sz w:val="22"/>
          <w:szCs w:val="22"/>
        </w:rPr>
        <w:t xml:space="preserve">Heads 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Pr="00EE2184">
        <w:rPr>
          <w:rFonts w:ascii="Arial" w:hAnsi="Arial" w:cs="Arial"/>
          <w:b/>
          <w:color w:val="000000"/>
          <w:sz w:val="22"/>
          <w:szCs w:val="22"/>
        </w:rPr>
        <w:t xml:space="preserve">f </w:t>
      </w:r>
      <w:r>
        <w:rPr>
          <w:rFonts w:ascii="Arial" w:hAnsi="Arial" w:cs="Arial"/>
          <w:b/>
          <w:color w:val="000000"/>
          <w:sz w:val="22"/>
          <w:szCs w:val="22"/>
        </w:rPr>
        <w:t>Departments / Senior Managers or their Deputies</w:t>
      </w:r>
      <w:r w:rsidRPr="00EE21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2184">
        <w:rPr>
          <w:rFonts w:ascii="Arial" w:hAnsi="Arial" w:cs="Arial"/>
          <w:sz w:val="22"/>
          <w:szCs w:val="22"/>
        </w:rPr>
        <w:t>must encourage employees to use this system.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3.4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Employees </w:t>
      </w:r>
      <w:r>
        <w:rPr>
          <w:rFonts w:ascii="Arial" w:hAnsi="Arial"/>
          <w:sz w:val="22"/>
        </w:rPr>
        <w:t xml:space="preserve">are required to report any perceived hazards or system deficiencies as soon as possible to their line manager.  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3.5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Persons employing contractors</w:t>
      </w:r>
      <w:r>
        <w:rPr>
          <w:rFonts w:ascii="Arial" w:hAnsi="Arial"/>
          <w:sz w:val="22"/>
        </w:rPr>
        <w:t xml:space="preserve"> should ensure that contractors’ employees are aware of this procedure and encourage its use.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3.6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The receiving line manager</w:t>
      </w:r>
      <w:r>
        <w:rPr>
          <w:rFonts w:ascii="Arial" w:hAnsi="Arial"/>
          <w:sz w:val="22"/>
        </w:rPr>
        <w:t xml:space="preserve"> must:</w:t>
      </w:r>
    </w:p>
    <w:p w:rsidR="0052453A" w:rsidRDefault="0052453A" w:rsidP="00F32705">
      <w:pPr>
        <w:ind w:left="283" w:hanging="283"/>
        <w:jc w:val="both"/>
      </w:pPr>
    </w:p>
    <w:p w:rsidR="0052453A" w:rsidRDefault="0052453A" w:rsidP="00F32705">
      <w:pPr>
        <w:tabs>
          <w:tab w:val="left" w:pos="1080"/>
          <w:tab w:val="left" w:pos="1440"/>
        </w:tabs>
        <w:ind w:left="720"/>
        <w:jc w:val="both"/>
        <w:rPr>
          <w:rFonts w:cs="Arial"/>
          <w:szCs w:val="22"/>
        </w:rPr>
      </w:pPr>
      <w:r>
        <w:t>3.6.1</w:t>
      </w:r>
      <w:r>
        <w:tab/>
      </w:r>
      <w:r w:rsidRPr="00F32705">
        <w:rPr>
          <w:rFonts w:cs="Arial"/>
          <w:szCs w:val="22"/>
        </w:rPr>
        <w:t>Acknowledge receipt of notification to the reporting person;</w:t>
      </w:r>
    </w:p>
    <w:p w:rsidR="0052453A" w:rsidRPr="00F32705" w:rsidRDefault="0052453A" w:rsidP="00F32705">
      <w:pPr>
        <w:tabs>
          <w:tab w:val="left" w:pos="1080"/>
          <w:tab w:val="left" w:pos="1440"/>
        </w:tabs>
        <w:ind w:left="144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3.6.2 </w:t>
      </w:r>
      <w:r w:rsidRPr="00F32705">
        <w:rPr>
          <w:rFonts w:cs="Arial"/>
          <w:szCs w:val="22"/>
        </w:rPr>
        <w:tab/>
        <w:t xml:space="preserve">Promptly investigate the reported condition and take, as appropriate, immediate emergency action.  In all other cases, action the hazard report within one calendar month of receipt, consulting </w:t>
      </w:r>
      <w:r>
        <w:rPr>
          <w:rFonts w:cs="Arial"/>
          <w:szCs w:val="22"/>
        </w:rPr>
        <w:t xml:space="preserve">with </w:t>
      </w:r>
      <w:r w:rsidRPr="00F32705">
        <w:rPr>
          <w:rFonts w:cs="Arial"/>
          <w:szCs w:val="22"/>
        </w:rPr>
        <w:t>the reporting person;</w:t>
      </w:r>
    </w:p>
    <w:p w:rsidR="0052453A" w:rsidRPr="00F32705" w:rsidRDefault="0052453A" w:rsidP="00F32705">
      <w:pPr>
        <w:tabs>
          <w:tab w:val="left" w:pos="1080"/>
          <w:tab w:val="left" w:pos="1440"/>
        </w:tabs>
        <w:ind w:left="720"/>
        <w:jc w:val="both"/>
        <w:rPr>
          <w:rFonts w:cs="Arial"/>
          <w:szCs w:val="22"/>
        </w:rPr>
      </w:pPr>
      <w:r w:rsidRPr="00F32705">
        <w:rPr>
          <w:rFonts w:cs="Arial"/>
          <w:szCs w:val="22"/>
        </w:rPr>
        <w:t>3.6.3</w:t>
      </w:r>
      <w:r w:rsidRPr="00F32705">
        <w:rPr>
          <w:rFonts w:cs="Arial"/>
          <w:szCs w:val="22"/>
        </w:rPr>
        <w:tab/>
        <w:t>Ensure required actions are entered in a remedial action database;</w:t>
      </w:r>
    </w:p>
    <w:p w:rsidR="0052453A" w:rsidRPr="00F32705" w:rsidRDefault="0052453A" w:rsidP="00F32705">
      <w:pPr>
        <w:pStyle w:val="BodyText2"/>
        <w:ind w:left="1440"/>
        <w:rPr>
          <w:rFonts w:ascii="Arial" w:hAnsi="Arial" w:cs="Arial"/>
          <w:sz w:val="22"/>
          <w:szCs w:val="22"/>
        </w:rPr>
      </w:pPr>
      <w:r w:rsidRPr="00F32705">
        <w:rPr>
          <w:rFonts w:ascii="Arial" w:hAnsi="Arial" w:cs="Arial"/>
          <w:sz w:val="22"/>
          <w:szCs w:val="22"/>
        </w:rPr>
        <w:t>3.6.4</w:t>
      </w:r>
      <w:r w:rsidRPr="00F32705">
        <w:rPr>
          <w:rFonts w:ascii="Arial" w:hAnsi="Arial" w:cs="Arial"/>
          <w:sz w:val="22"/>
          <w:szCs w:val="22"/>
        </w:rPr>
        <w:tab/>
        <w:t>If no action is required, ensure this is recorded after discussion with the reporting person;</w:t>
      </w:r>
    </w:p>
    <w:p w:rsidR="0052453A" w:rsidRPr="00F32705" w:rsidRDefault="0052453A" w:rsidP="00F32705">
      <w:pPr>
        <w:pStyle w:val="BodyText2"/>
        <w:ind w:left="1440"/>
        <w:rPr>
          <w:rFonts w:ascii="Arial" w:hAnsi="Arial" w:cs="Arial"/>
          <w:sz w:val="22"/>
          <w:szCs w:val="22"/>
        </w:rPr>
      </w:pPr>
      <w:r w:rsidRPr="00F32705">
        <w:rPr>
          <w:rFonts w:ascii="Arial" w:hAnsi="Arial" w:cs="Arial"/>
          <w:sz w:val="22"/>
          <w:szCs w:val="22"/>
        </w:rPr>
        <w:t>3.6.5</w:t>
      </w:r>
      <w:r w:rsidRPr="00F32705">
        <w:rPr>
          <w:rFonts w:ascii="Arial" w:hAnsi="Arial" w:cs="Arial"/>
          <w:sz w:val="22"/>
          <w:szCs w:val="22"/>
        </w:rPr>
        <w:tab/>
        <w:t xml:space="preserve">Ensure all actions taken </w:t>
      </w:r>
      <w:r>
        <w:rPr>
          <w:rFonts w:ascii="Arial" w:hAnsi="Arial" w:cs="Arial"/>
          <w:sz w:val="22"/>
          <w:szCs w:val="22"/>
        </w:rPr>
        <w:t>are</w:t>
      </w:r>
      <w:r w:rsidRPr="00F32705">
        <w:rPr>
          <w:rFonts w:ascii="Arial" w:hAnsi="Arial" w:cs="Arial"/>
          <w:sz w:val="22"/>
          <w:szCs w:val="22"/>
        </w:rPr>
        <w:t xml:space="preserve"> recorded and attached to the original Hazard Report Form and completion communicated to the person making the Hazard Report Form;</w:t>
      </w:r>
    </w:p>
    <w:p w:rsidR="0052453A" w:rsidRPr="00F32705" w:rsidRDefault="0052453A" w:rsidP="00F32705">
      <w:pPr>
        <w:tabs>
          <w:tab w:val="left" w:pos="1080"/>
          <w:tab w:val="left" w:pos="1440"/>
        </w:tabs>
        <w:ind w:left="1440" w:hanging="720"/>
        <w:jc w:val="both"/>
        <w:rPr>
          <w:rFonts w:cs="Arial"/>
          <w:szCs w:val="22"/>
        </w:rPr>
      </w:pPr>
      <w:r w:rsidRPr="00F32705">
        <w:rPr>
          <w:rFonts w:cs="Arial"/>
          <w:szCs w:val="22"/>
        </w:rPr>
        <w:t>3.6.6</w:t>
      </w:r>
      <w:r w:rsidRPr="00F32705">
        <w:rPr>
          <w:rFonts w:cs="Arial"/>
          <w:szCs w:val="22"/>
        </w:rPr>
        <w:tab/>
        <w:t xml:space="preserve">Send a copy of the Hazard Report Form to the </w:t>
      </w:r>
      <w:r>
        <w:rPr>
          <w:rFonts w:cs="Arial"/>
          <w:bCs/>
        </w:rPr>
        <w:t>Health</w:t>
      </w:r>
      <w:r w:rsidR="00CA480E">
        <w:rPr>
          <w:rFonts w:cs="Arial"/>
          <w:bCs/>
        </w:rPr>
        <w:t xml:space="preserve"> and </w:t>
      </w:r>
      <w:r>
        <w:rPr>
          <w:rFonts w:cs="Arial"/>
          <w:bCs/>
        </w:rPr>
        <w:t>Safety</w:t>
      </w:r>
      <w:r w:rsidR="00CA480E">
        <w:rPr>
          <w:rFonts w:cs="Arial"/>
          <w:bCs/>
        </w:rPr>
        <w:t xml:space="preserve"> </w:t>
      </w:r>
      <w:r>
        <w:rPr>
          <w:rFonts w:cs="Arial"/>
          <w:bCs/>
        </w:rPr>
        <w:t xml:space="preserve">Advisor </w:t>
      </w:r>
      <w:r>
        <w:rPr>
          <w:rFonts w:cs="Arial"/>
          <w:szCs w:val="22"/>
        </w:rPr>
        <w:t xml:space="preserve">and their Health and Safety Representative </w:t>
      </w:r>
      <w:r w:rsidRPr="00F32705">
        <w:rPr>
          <w:rFonts w:cs="Arial"/>
          <w:szCs w:val="22"/>
        </w:rPr>
        <w:t>for information and review.</w:t>
      </w:r>
    </w:p>
    <w:p w:rsidR="0052453A" w:rsidRDefault="0052453A" w:rsidP="00F32705">
      <w:pPr>
        <w:ind w:left="283" w:hanging="283"/>
        <w:jc w:val="both"/>
        <w:rPr>
          <w:rFonts w:cs="Arial"/>
          <w:szCs w:val="22"/>
        </w:rPr>
      </w:pPr>
    </w:p>
    <w:p w:rsidR="0052453A" w:rsidRDefault="0052453A" w:rsidP="00F32705">
      <w:pPr>
        <w:ind w:left="283" w:hanging="283"/>
        <w:jc w:val="both"/>
        <w:rPr>
          <w:rFonts w:cs="Arial"/>
          <w:szCs w:val="22"/>
        </w:rPr>
      </w:pPr>
    </w:p>
    <w:p w:rsidR="0052453A" w:rsidRDefault="0052453A" w:rsidP="00F32705">
      <w:pPr>
        <w:ind w:left="283" w:hanging="283"/>
        <w:jc w:val="both"/>
        <w:rPr>
          <w:rFonts w:cs="Arial"/>
          <w:szCs w:val="22"/>
        </w:rPr>
      </w:pPr>
    </w:p>
    <w:p w:rsidR="0052453A" w:rsidRPr="00F32705" w:rsidRDefault="0052453A" w:rsidP="00F32705">
      <w:pPr>
        <w:ind w:left="283" w:hanging="283"/>
        <w:jc w:val="both"/>
        <w:rPr>
          <w:rFonts w:cs="Arial"/>
          <w:szCs w:val="22"/>
        </w:rPr>
      </w:pPr>
    </w:p>
    <w:p w:rsidR="0052453A" w:rsidRDefault="0052453A" w:rsidP="00F32705">
      <w:pPr>
        <w:pStyle w:val="BodyText"/>
        <w:numPr>
          <w:ilvl w:val="1"/>
          <w:numId w:val="11"/>
        </w:numPr>
        <w:tabs>
          <w:tab w:val="left" w:pos="720"/>
        </w:tabs>
        <w:ind w:left="720" w:hanging="720"/>
        <w:jc w:val="both"/>
        <w:textAlignment w:val="auto"/>
        <w:rPr>
          <w:rFonts w:ascii="Arial" w:hAnsi="Arial"/>
          <w:sz w:val="22"/>
        </w:rPr>
      </w:pPr>
      <w:r w:rsidRPr="00F32705">
        <w:rPr>
          <w:rFonts w:ascii="Arial" w:hAnsi="Arial" w:cs="Arial"/>
          <w:b/>
          <w:sz w:val="22"/>
          <w:szCs w:val="22"/>
        </w:rPr>
        <w:t xml:space="preserve">The </w:t>
      </w:r>
      <w:r w:rsidRPr="00D21A90">
        <w:rPr>
          <w:rFonts w:ascii="Arial" w:hAnsi="Arial" w:cs="Arial"/>
          <w:b/>
          <w:bCs/>
          <w:sz w:val="22"/>
          <w:szCs w:val="22"/>
        </w:rPr>
        <w:t>Health</w:t>
      </w:r>
      <w:r w:rsidR="00CA480E">
        <w:rPr>
          <w:rFonts w:ascii="Arial" w:hAnsi="Arial" w:cs="Arial"/>
          <w:b/>
          <w:bCs/>
          <w:sz w:val="22"/>
          <w:szCs w:val="22"/>
        </w:rPr>
        <w:t xml:space="preserve"> and </w:t>
      </w:r>
      <w:r w:rsidRPr="00D21A90">
        <w:rPr>
          <w:rFonts w:ascii="Arial" w:hAnsi="Arial" w:cs="Arial"/>
          <w:b/>
          <w:bCs/>
          <w:sz w:val="22"/>
          <w:szCs w:val="22"/>
        </w:rPr>
        <w:t>Safety</w:t>
      </w:r>
      <w:r w:rsidR="00CA48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1A90">
        <w:rPr>
          <w:rFonts w:ascii="Arial" w:hAnsi="Arial" w:cs="Arial"/>
          <w:b/>
          <w:bCs/>
          <w:sz w:val="22"/>
          <w:szCs w:val="22"/>
        </w:rPr>
        <w:t>Advisor</w:t>
      </w:r>
      <w:r>
        <w:rPr>
          <w:rFonts w:cs="Arial"/>
          <w:bCs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 Health and Safety Representatives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shall:</w:t>
      </w:r>
    </w:p>
    <w:p w:rsidR="0052453A" w:rsidRDefault="0052453A" w:rsidP="00F32705">
      <w:pPr>
        <w:pStyle w:val="BodyText2"/>
        <w:jc w:val="both"/>
      </w:pPr>
    </w:p>
    <w:p w:rsidR="0052453A" w:rsidRPr="00F32705" w:rsidRDefault="0052453A" w:rsidP="00F32705">
      <w:pPr>
        <w:pStyle w:val="BodyText2"/>
        <w:numPr>
          <w:ilvl w:val="2"/>
          <w:numId w:val="11"/>
        </w:numPr>
        <w:tabs>
          <w:tab w:val="left" w:pos="1418"/>
        </w:tabs>
        <w:ind w:left="1418" w:hanging="709"/>
        <w:jc w:val="both"/>
        <w:textAlignment w:val="auto"/>
        <w:rPr>
          <w:rFonts w:ascii="Arial" w:hAnsi="Arial" w:cs="Arial"/>
          <w:sz w:val="22"/>
          <w:szCs w:val="22"/>
        </w:rPr>
      </w:pPr>
      <w:r w:rsidRPr="00F32705">
        <w:rPr>
          <w:rFonts w:ascii="Arial" w:hAnsi="Arial" w:cs="Arial"/>
          <w:sz w:val="22"/>
          <w:szCs w:val="22"/>
        </w:rPr>
        <w:t>Review any hazard form returned to them and provide any necessary support activity within the relevant area;</w:t>
      </w:r>
    </w:p>
    <w:p w:rsidR="0052453A" w:rsidRPr="00F32705" w:rsidRDefault="0052453A" w:rsidP="00F32705">
      <w:pPr>
        <w:pStyle w:val="BodyText2"/>
        <w:numPr>
          <w:ilvl w:val="2"/>
          <w:numId w:val="11"/>
        </w:numPr>
        <w:tabs>
          <w:tab w:val="left" w:pos="1418"/>
        </w:tabs>
        <w:ind w:left="1418" w:hanging="709"/>
        <w:jc w:val="both"/>
        <w:textAlignment w:val="auto"/>
        <w:rPr>
          <w:rFonts w:ascii="Arial" w:hAnsi="Arial" w:cs="Arial"/>
          <w:sz w:val="22"/>
          <w:szCs w:val="22"/>
        </w:rPr>
      </w:pPr>
      <w:r w:rsidRPr="00F32705">
        <w:rPr>
          <w:rFonts w:ascii="Arial" w:hAnsi="Arial" w:cs="Arial"/>
          <w:sz w:val="22"/>
          <w:szCs w:val="22"/>
        </w:rPr>
        <w:t>Analyse the reports for information to be included within the accident experience reports made each quarter to the Health</w:t>
      </w:r>
      <w:r w:rsidR="00CA480E">
        <w:rPr>
          <w:rFonts w:ascii="Arial" w:hAnsi="Arial" w:cs="Arial"/>
          <w:sz w:val="22"/>
          <w:szCs w:val="22"/>
        </w:rPr>
        <w:t>, Safety and Welfare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32705">
        <w:rPr>
          <w:rFonts w:ascii="Arial" w:hAnsi="Arial" w:cs="Arial"/>
          <w:color w:val="000000"/>
          <w:sz w:val="22"/>
          <w:szCs w:val="22"/>
        </w:rPr>
        <w:t>Committee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2453A" w:rsidRPr="00F32705" w:rsidRDefault="0052453A" w:rsidP="00F32705">
      <w:pPr>
        <w:jc w:val="both"/>
        <w:rPr>
          <w:rFonts w:cs="Arial"/>
          <w:b/>
          <w:szCs w:val="22"/>
        </w:rPr>
      </w:pPr>
    </w:p>
    <w:p w:rsidR="0052453A" w:rsidRPr="00F32705" w:rsidRDefault="0052453A" w:rsidP="00F32705">
      <w:pPr>
        <w:jc w:val="both"/>
        <w:rPr>
          <w:rFonts w:cs="Arial"/>
          <w:b/>
          <w:szCs w:val="22"/>
        </w:rPr>
      </w:pPr>
      <w:r w:rsidRPr="00F32705">
        <w:rPr>
          <w:rFonts w:cs="Arial"/>
          <w:b/>
          <w:szCs w:val="22"/>
        </w:rPr>
        <w:t>4.0</w:t>
      </w:r>
      <w:r w:rsidRPr="00F32705">
        <w:rPr>
          <w:rFonts w:cs="Arial"/>
          <w:b/>
          <w:szCs w:val="22"/>
        </w:rPr>
        <w:tab/>
        <w:t>Process</w:t>
      </w:r>
    </w:p>
    <w:p w:rsidR="0052453A" w:rsidRPr="00F32705" w:rsidRDefault="0052453A" w:rsidP="00F32705">
      <w:pPr>
        <w:jc w:val="both"/>
        <w:rPr>
          <w:rFonts w:cs="Arial"/>
          <w:szCs w:val="22"/>
        </w:rPr>
      </w:pPr>
    </w:p>
    <w:p w:rsidR="0052453A" w:rsidRDefault="0052453A" w:rsidP="00F32705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F32705">
        <w:rPr>
          <w:rFonts w:ascii="Arial" w:hAnsi="Arial" w:cs="Arial"/>
          <w:sz w:val="22"/>
          <w:szCs w:val="22"/>
        </w:rPr>
        <w:t>4.1</w:t>
      </w:r>
      <w:r w:rsidRPr="00F327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Reporting forms should be available on the intranet and at suitable locations throughout the organisation.</w:t>
      </w:r>
    </w:p>
    <w:p w:rsidR="0052453A" w:rsidRDefault="0052453A" w:rsidP="00F32705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52453A" w:rsidRPr="00F32705" w:rsidRDefault="0052453A" w:rsidP="00955C32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>
        <w:rPr>
          <w:rFonts w:ascii="Arial" w:hAnsi="Arial" w:cs="Arial"/>
          <w:sz w:val="22"/>
          <w:szCs w:val="22"/>
        </w:rPr>
        <w:tab/>
      </w:r>
      <w:r w:rsidRPr="00F32705">
        <w:rPr>
          <w:rFonts w:ascii="Arial" w:hAnsi="Arial" w:cs="Arial"/>
          <w:sz w:val="22"/>
          <w:szCs w:val="22"/>
        </w:rPr>
        <w:t xml:space="preserve">Identified hazards/system deficiencies should be verbally reported as soon as possible to the </w:t>
      </w:r>
      <w:r>
        <w:rPr>
          <w:rFonts w:ascii="Arial" w:hAnsi="Arial" w:cs="Arial"/>
          <w:sz w:val="22"/>
          <w:szCs w:val="22"/>
        </w:rPr>
        <w:t>line manager and remedied immediately where possible</w:t>
      </w:r>
      <w:r w:rsidRPr="00F32705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Where the hazard /deficiency /non conformance is unable to be remedied a </w:t>
      </w:r>
      <w:r w:rsidRPr="00F32705">
        <w:rPr>
          <w:rFonts w:ascii="Arial" w:hAnsi="Arial" w:cs="Arial"/>
          <w:sz w:val="22"/>
          <w:szCs w:val="22"/>
        </w:rPr>
        <w:t xml:space="preserve">formal notification </w:t>
      </w:r>
      <w:r>
        <w:rPr>
          <w:rFonts w:ascii="Arial" w:hAnsi="Arial" w:cs="Arial"/>
          <w:sz w:val="22"/>
          <w:szCs w:val="22"/>
        </w:rPr>
        <w:t xml:space="preserve">should be made </w:t>
      </w:r>
      <w:r w:rsidRPr="00F32705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NES</w:t>
      </w:r>
      <w:r w:rsidRPr="00F32705">
        <w:rPr>
          <w:rFonts w:ascii="Arial" w:hAnsi="Arial" w:cs="Arial"/>
          <w:sz w:val="22"/>
          <w:szCs w:val="22"/>
        </w:rPr>
        <w:t xml:space="preserve">’s Hazard Report Form (see Appendix 1) </w:t>
      </w:r>
      <w:r>
        <w:rPr>
          <w:rFonts w:ascii="Arial" w:hAnsi="Arial" w:cs="Arial"/>
          <w:sz w:val="22"/>
          <w:szCs w:val="22"/>
        </w:rPr>
        <w:t xml:space="preserve">to the line manager </w:t>
      </w:r>
      <w:r w:rsidRPr="00F32705">
        <w:rPr>
          <w:rFonts w:ascii="Arial" w:hAnsi="Arial" w:cs="Arial"/>
          <w:sz w:val="22"/>
          <w:szCs w:val="22"/>
        </w:rPr>
        <w:t xml:space="preserve">with a copy to the </w:t>
      </w:r>
      <w:r>
        <w:rPr>
          <w:rFonts w:ascii="Arial" w:hAnsi="Arial" w:cs="Arial"/>
          <w:sz w:val="22"/>
          <w:szCs w:val="22"/>
        </w:rPr>
        <w:t>Health and Safety Representative</w:t>
      </w:r>
      <w:r w:rsidRPr="00F32705">
        <w:rPr>
          <w:rFonts w:ascii="Arial" w:hAnsi="Arial" w:cs="Arial"/>
          <w:sz w:val="22"/>
          <w:szCs w:val="22"/>
        </w:rPr>
        <w:t xml:space="preserve"> for information.</w:t>
      </w:r>
    </w:p>
    <w:p w:rsidR="0052453A" w:rsidRDefault="0052453A" w:rsidP="00F32705">
      <w:pPr>
        <w:ind w:left="283" w:hanging="283"/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4.2</w:t>
      </w:r>
      <w:r>
        <w:rPr>
          <w:rFonts w:ascii="Arial" w:hAnsi="Arial"/>
          <w:sz w:val="22"/>
        </w:rPr>
        <w:tab/>
        <w:t>No detriment shall be shown to any person making a report.</w:t>
      </w:r>
    </w:p>
    <w:p w:rsidR="0052453A" w:rsidRDefault="0052453A" w:rsidP="00F32705">
      <w:pPr>
        <w:ind w:left="283" w:hanging="283"/>
        <w:jc w:val="both"/>
      </w:pPr>
    </w:p>
    <w:p w:rsidR="0052453A" w:rsidRDefault="0052453A" w:rsidP="00F32705">
      <w:pPr>
        <w:ind w:left="720" w:hanging="720"/>
        <w:jc w:val="both"/>
      </w:pPr>
      <w:r>
        <w:t>4.3</w:t>
      </w:r>
      <w:r>
        <w:tab/>
        <w:t>The reports are quality records and shall be retained after review for a minimum of three years in accordance with procedure HSMP 04.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4.4</w:t>
      </w:r>
      <w:r>
        <w:rPr>
          <w:rFonts w:ascii="Arial" w:hAnsi="Arial"/>
          <w:sz w:val="22"/>
        </w:rPr>
        <w:tab/>
        <w:t>The operation of this procedure will be audited in accordance with NES’s Health and Safety Management Audit Procedure HSMP 12.</w:t>
      </w: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</w:p>
    <w:p w:rsidR="0052453A" w:rsidRDefault="0052453A" w:rsidP="00F32705">
      <w:pPr>
        <w:jc w:val="both"/>
        <w:rPr>
          <w:b/>
          <w:i/>
        </w:rPr>
      </w:pPr>
      <w:r>
        <w:rPr>
          <w:b/>
          <w:i/>
        </w:rPr>
        <w:t>References</w:t>
      </w:r>
    </w:p>
    <w:p w:rsidR="0052453A" w:rsidRDefault="0052453A" w:rsidP="00F32705">
      <w:pPr>
        <w:jc w:val="both"/>
      </w:pPr>
    </w:p>
    <w:p w:rsidR="0052453A" w:rsidRDefault="0052453A" w:rsidP="00F32705">
      <w:pPr>
        <w:numPr>
          <w:ilvl w:val="0"/>
          <w:numId w:val="12"/>
        </w:numPr>
        <w:ind w:left="737" w:hanging="737"/>
        <w:jc w:val="both"/>
        <w:textAlignment w:val="auto"/>
      </w:pPr>
      <w:r>
        <w:t>Management of Health and Safety Regulations 1999</w:t>
      </w:r>
    </w:p>
    <w:p w:rsidR="0052453A" w:rsidRDefault="0052453A" w:rsidP="00B755AF">
      <w:pPr>
        <w:numPr>
          <w:ilvl w:val="0"/>
          <w:numId w:val="12"/>
        </w:numPr>
        <w:ind w:left="737" w:hanging="737"/>
        <w:jc w:val="both"/>
        <w:textAlignment w:val="auto"/>
      </w:pPr>
      <w:r>
        <w:t>HSG 65 Successful Health and Safety Management</w:t>
      </w:r>
    </w:p>
    <w:sectPr w:rsidR="0052453A" w:rsidSect="000752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3A" w:rsidRDefault="0052453A">
      <w:r>
        <w:separator/>
      </w:r>
    </w:p>
  </w:endnote>
  <w:endnote w:type="continuationSeparator" w:id="0">
    <w:p w:rsidR="0052453A" w:rsidRDefault="0052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D7" w:rsidRDefault="00E7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1276"/>
      <w:gridCol w:w="1134"/>
      <w:gridCol w:w="3260"/>
      <w:gridCol w:w="2551"/>
    </w:tblGrid>
    <w:tr w:rsidR="0052453A">
      <w:tc>
        <w:tcPr>
          <w:tcW w:w="1418" w:type="dxa"/>
        </w:tcPr>
        <w:p w:rsidR="0052453A" w:rsidRDefault="0052453A" w:rsidP="008A6C3B">
          <w:pPr>
            <w:pStyle w:val="Footer"/>
          </w:pPr>
          <w:r>
            <w:t>HSMP09</w:t>
          </w:r>
        </w:p>
      </w:tc>
      <w:tc>
        <w:tcPr>
          <w:tcW w:w="1276" w:type="dxa"/>
        </w:tcPr>
        <w:p w:rsidR="0052453A" w:rsidRDefault="0052453A" w:rsidP="00CA480E">
          <w:pPr>
            <w:pStyle w:val="Footer"/>
          </w:pPr>
          <w:r>
            <w:t xml:space="preserve">Issue </w:t>
          </w:r>
          <w:r w:rsidR="00CA480E">
            <w:t>2</w:t>
          </w:r>
        </w:p>
      </w:tc>
      <w:tc>
        <w:tcPr>
          <w:tcW w:w="1134" w:type="dxa"/>
        </w:tcPr>
        <w:p w:rsidR="0052453A" w:rsidRDefault="0052453A" w:rsidP="00DA0A37">
          <w:pPr>
            <w:pStyle w:val="Footer"/>
          </w:pPr>
        </w:p>
      </w:tc>
      <w:tc>
        <w:tcPr>
          <w:tcW w:w="3260" w:type="dxa"/>
        </w:tcPr>
        <w:p w:rsidR="0052453A" w:rsidRDefault="0052453A" w:rsidP="00CA480E">
          <w:pPr>
            <w:pStyle w:val="Footer"/>
          </w:pPr>
          <w:r>
            <w:t>Date of issue  01/0</w:t>
          </w:r>
          <w:r w:rsidR="00CA480E">
            <w:t>7</w:t>
          </w:r>
          <w:r>
            <w:t>/1</w:t>
          </w:r>
          <w:r w:rsidR="00CA480E">
            <w:t>4</w:t>
          </w:r>
        </w:p>
      </w:tc>
      <w:tc>
        <w:tcPr>
          <w:tcW w:w="2551" w:type="dxa"/>
        </w:tcPr>
        <w:p w:rsidR="0052453A" w:rsidRDefault="0052453A">
          <w:pPr>
            <w:pStyle w:val="Footer"/>
          </w:pPr>
          <w:r>
            <w:rPr>
              <w:rStyle w:val="PageNumber"/>
            </w:rPr>
            <w:t xml:space="preserve">Page </w:t>
          </w:r>
          <w:r w:rsidR="00930BF4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930BF4">
            <w:rPr>
              <w:rStyle w:val="PageNumber"/>
            </w:rPr>
            <w:fldChar w:fldCharType="separate"/>
          </w:r>
          <w:r w:rsidR="00C13ABF">
            <w:rPr>
              <w:rStyle w:val="PageNumber"/>
              <w:noProof/>
            </w:rPr>
            <w:t>2</w:t>
          </w:r>
          <w:r w:rsidR="00930BF4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 w:rsidR="00930BF4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930BF4">
            <w:rPr>
              <w:rStyle w:val="PageNumber"/>
            </w:rPr>
            <w:fldChar w:fldCharType="separate"/>
          </w:r>
          <w:r w:rsidR="00C13ABF">
            <w:rPr>
              <w:rStyle w:val="PageNumber"/>
              <w:noProof/>
            </w:rPr>
            <w:t>2</w:t>
          </w:r>
          <w:r w:rsidR="00930BF4">
            <w:rPr>
              <w:rStyle w:val="PageNumber"/>
            </w:rPr>
            <w:fldChar w:fldCharType="end"/>
          </w:r>
        </w:p>
      </w:tc>
    </w:tr>
  </w:tbl>
  <w:p w:rsidR="0052453A" w:rsidRDefault="0052453A">
    <w:pPr>
      <w:pStyle w:val="Footer"/>
    </w:pPr>
  </w:p>
  <w:p w:rsidR="0052453A" w:rsidRDefault="0052453A">
    <w:pPr>
      <w:pStyle w:val="Foo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D7" w:rsidRDefault="00E7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3A" w:rsidRDefault="0052453A">
      <w:r>
        <w:separator/>
      </w:r>
    </w:p>
  </w:footnote>
  <w:footnote w:type="continuationSeparator" w:id="0">
    <w:p w:rsidR="0052453A" w:rsidRDefault="0052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D7" w:rsidRDefault="00E7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D7" w:rsidRDefault="00E7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D7" w:rsidRDefault="00E7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4EC104"/>
    <w:lvl w:ilvl="0">
      <w:numFmt w:val="bullet"/>
      <w:lvlText w:val="*"/>
      <w:lvlJc w:val="left"/>
    </w:lvl>
  </w:abstractNum>
  <w:abstractNum w:abstractNumId="1" w15:restartNumberingAfterBreak="0">
    <w:nsid w:val="1C841E57"/>
    <w:multiLevelType w:val="multilevel"/>
    <w:tmpl w:val="400A0A6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color w:val="000000"/>
      </w:rPr>
    </w:lvl>
  </w:abstractNum>
  <w:abstractNum w:abstractNumId="2" w15:restartNumberingAfterBreak="0">
    <w:nsid w:val="1E5F59A6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2CCA0AD7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33B73767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6B4C101D"/>
    <w:multiLevelType w:val="singleLevel"/>
    <w:tmpl w:val="BDA28A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E994576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71982889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7D377047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7E3A3E20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7F813D4F"/>
    <w:multiLevelType w:val="multilevel"/>
    <w:tmpl w:val="9CF02364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7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pPr>
        <w:ind w:left="426"/>
      </w:pPr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9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80"/>
        <w:lvlJc w:val="left"/>
        <w:pPr>
          <w:ind w:left="1763" w:hanging="38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7C"/>
    <w:rsid w:val="00057FDE"/>
    <w:rsid w:val="00064A1A"/>
    <w:rsid w:val="000709FC"/>
    <w:rsid w:val="000752CD"/>
    <w:rsid w:val="00093444"/>
    <w:rsid w:val="000A7993"/>
    <w:rsid w:val="000E778A"/>
    <w:rsid w:val="000F31C2"/>
    <w:rsid w:val="00103E04"/>
    <w:rsid w:val="00114CA1"/>
    <w:rsid w:val="00144322"/>
    <w:rsid w:val="00147287"/>
    <w:rsid w:val="00147C4A"/>
    <w:rsid w:val="00154C9F"/>
    <w:rsid w:val="00183B74"/>
    <w:rsid w:val="001B31E2"/>
    <w:rsid w:val="001C5B23"/>
    <w:rsid w:val="001F2ED2"/>
    <w:rsid w:val="001F6FDF"/>
    <w:rsid w:val="002051D0"/>
    <w:rsid w:val="002310BF"/>
    <w:rsid w:val="002366F2"/>
    <w:rsid w:val="00240EB6"/>
    <w:rsid w:val="00243620"/>
    <w:rsid w:val="00294B0E"/>
    <w:rsid w:val="002B2AC9"/>
    <w:rsid w:val="003366EC"/>
    <w:rsid w:val="00355253"/>
    <w:rsid w:val="00367E44"/>
    <w:rsid w:val="003A4120"/>
    <w:rsid w:val="003B78BE"/>
    <w:rsid w:val="00403F61"/>
    <w:rsid w:val="00425F1E"/>
    <w:rsid w:val="004849AD"/>
    <w:rsid w:val="0048657E"/>
    <w:rsid w:val="004B3937"/>
    <w:rsid w:val="005065E8"/>
    <w:rsid w:val="0052453A"/>
    <w:rsid w:val="006553DB"/>
    <w:rsid w:val="00655780"/>
    <w:rsid w:val="00657F86"/>
    <w:rsid w:val="0066569F"/>
    <w:rsid w:val="006B171E"/>
    <w:rsid w:val="006B58B5"/>
    <w:rsid w:val="0073636D"/>
    <w:rsid w:val="007A6465"/>
    <w:rsid w:val="007C6B12"/>
    <w:rsid w:val="007F2D47"/>
    <w:rsid w:val="0081514C"/>
    <w:rsid w:val="008167F0"/>
    <w:rsid w:val="008A6C3B"/>
    <w:rsid w:val="008F4F23"/>
    <w:rsid w:val="00930BF4"/>
    <w:rsid w:val="00955C32"/>
    <w:rsid w:val="00971098"/>
    <w:rsid w:val="009E0A3B"/>
    <w:rsid w:val="00A86B21"/>
    <w:rsid w:val="00A96932"/>
    <w:rsid w:val="00AC2F10"/>
    <w:rsid w:val="00AF4AC6"/>
    <w:rsid w:val="00B617D5"/>
    <w:rsid w:val="00B755AF"/>
    <w:rsid w:val="00BE435F"/>
    <w:rsid w:val="00C020E9"/>
    <w:rsid w:val="00C0341B"/>
    <w:rsid w:val="00C1071E"/>
    <w:rsid w:val="00C13ABF"/>
    <w:rsid w:val="00C80748"/>
    <w:rsid w:val="00CA480E"/>
    <w:rsid w:val="00CF4873"/>
    <w:rsid w:val="00D03D18"/>
    <w:rsid w:val="00D21A90"/>
    <w:rsid w:val="00D4457F"/>
    <w:rsid w:val="00D86590"/>
    <w:rsid w:val="00DA0A37"/>
    <w:rsid w:val="00DB4C7C"/>
    <w:rsid w:val="00DD5DC7"/>
    <w:rsid w:val="00DE56D0"/>
    <w:rsid w:val="00E0348E"/>
    <w:rsid w:val="00E44D28"/>
    <w:rsid w:val="00E73BD7"/>
    <w:rsid w:val="00EC0F06"/>
    <w:rsid w:val="00EC6E6F"/>
    <w:rsid w:val="00EE2184"/>
    <w:rsid w:val="00F32705"/>
    <w:rsid w:val="00FB3EBC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BE720E3D-B1CE-451E-A9AF-A9AA1053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2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2CD"/>
    <w:pPr>
      <w:keepNext/>
      <w:ind w:left="720" w:hanging="720"/>
      <w:outlineLvl w:val="0"/>
    </w:pPr>
    <w:rPr>
      <w:rFonts w:ascii="Times New Roman" w:hAnsi="Times New Roman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52CD"/>
    <w:pPr>
      <w:keepNext/>
      <w:ind w:left="10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52CD"/>
    <w:pPr>
      <w:keepNext/>
      <w:outlineLvl w:val="4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F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F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F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0752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FFD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semiHidden/>
    <w:rsid w:val="000752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FFD"/>
    <w:rPr>
      <w:rFonts w:ascii="Arial" w:hAnsi="Arial"/>
      <w:szCs w:val="20"/>
    </w:rPr>
  </w:style>
  <w:style w:type="character" w:styleId="PageNumber">
    <w:name w:val="page number"/>
    <w:basedOn w:val="DefaultParagraphFont"/>
    <w:uiPriority w:val="99"/>
    <w:semiHidden/>
    <w:rsid w:val="000752C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752CD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E435F"/>
    <w:rPr>
      <w:rFonts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0752CD"/>
    <w:pPr>
      <w:ind w:left="720" w:hanging="720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6FFD"/>
    <w:rPr>
      <w:rFonts w:ascii="Arial" w:hAnsi="Arial"/>
      <w:szCs w:val="20"/>
    </w:rPr>
  </w:style>
  <w:style w:type="paragraph" w:styleId="Subtitle">
    <w:name w:val="Subtitle"/>
    <w:basedOn w:val="Normal"/>
    <w:link w:val="SubtitleChar"/>
    <w:uiPriority w:val="99"/>
    <w:qFormat/>
    <w:rsid w:val="000752CD"/>
    <w:rPr>
      <w:rFonts w:ascii="Times New Roman" w:hAnsi="Times New Roman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6FFD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752CD"/>
    <w:pPr>
      <w:ind w:left="720" w:hanging="72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6FFD"/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752CD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6FFD"/>
    <w:rPr>
      <w:rFonts w:ascii="Arial" w:hAnsi="Arial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752CD"/>
    <w:pPr>
      <w:ind w:left="720" w:hanging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6FFD"/>
    <w:rPr>
      <w:rFonts w:ascii="Arial" w:hAnsi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0752C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FFD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semiHidden/>
    <w:rsid w:val="00F327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2705"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5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ColinSa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b041bc45-e922-4e05-aeef-84d4bc771323</Legacy_x0020_ID>
    <_dlc_DocId xmlns="72c27bc8-f1cf-457f-9f0c-f3bbe8b33b63">QEA2HK2V67VY-1303105528-18022</_dlc_DocId>
    <_dlc_DocIdUrl xmlns="72c27bc8-f1cf-457f-9f0c-f3bbe8b33b63">
      <Url>https://scottish.sharepoint.com/sites/1nes/_layouts/15/DocIdRedir.aspx?ID=QEA2HK2V67VY-1303105528-18022</Url>
      <Description>QEA2HK2V67VY-1303105528-18022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197" ma:contentTypeDescription="AI created content type for migration of content from Fresco to SP" ma:contentTypeScope="" ma:versionID="cd5f6378db4eb1457f4ef4c35bb547f9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a08be3439bf124e437b8049f9ca5b9e0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1707C9-4B23-4EF6-A3FC-80194A5C7E9E}">
  <ds:schemaRefs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72c27bc8-f1cf-457f-9f0c-f3bbe8b33b63"/>
    <ds:schemaRef ds:uri="http://schemas.openxmlformats.org/package/2006/metadata/core-properties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8A1C5001-89CB-4494-A7F5-6CC06395E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61F4E-62B7-44AA-AA15-1020D86C94C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2F6DBD1-7B7E-47B8-A5E5-6D95BF637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72c27bc8-f1cf-457f-9f0c-f3bbe8b3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BC321C-2E46-4D39-A8B5-C4457B041B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reporting</vt:lpstr>
    </vt:vector>
  </TitlesOfParts>
  <Company>ROSPA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reporting</dc:title>
  <dc:creator>BobM</dc:creator>
  <cp:lastModifiedBy>Emma Reid</cp:lastModifiedBy>
  <cp:revision>2</cp:revision>
  <cp:lastPrinted>2006-08-30T13:23:00Z</cp:lastPrinted>
  <dcterms:created xsi:type="dcterms:W3CDTF">2018-11-23T10:30:00Z</dcterms:created>
  <dcterms:modified xsi:type="dcterms:W3CDTF">2018-11-23T10:30:00Z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Modified Date">
    <vt:filetime>2015-02-24T12:06:23Z</vt:filetime>
  </property>
  <property fmtid="{D5CDD505-2E9C-101B-9397-08002B2CF9AE}" pid="4" name="Modifier">
    <vt:lpwstr>ColinSa</vt:lpwstr>
  </property>
  <property fmtid="{D5CDD505-2E9C-101B-9397-08002B2CF9AE}" pid="5" name="Size">
    <vt:r8>47090</vt:r8>
  </property>
  <property fmtid="{D5CDD505-2E9C-101B-9397-08002B2CF9AE}" pid="6" name="Created Date1">
    <vt:filetime>2015-02-24T12:06:23Z</vt:filetime>
  </property>
  <property fmtid="{D5CDD505-2E9C-101B-9397-08002B2CF9AE}" pid="7" name="_dlc_DocIdItemGuid">
    <vt:lpwstr>5433c03b-03e3-4b50-8582-723c9b7c8d2f</vt:lpwstr>
  </property>
</Properties>
</file>